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65"/>
        <w:gridCol w:w="7285"/>
      </w:tblGrid>
      <w:tr w:rsidR="00633870" w14:paraId="623552BB" w14:textId="77777777" w:rsidTr="00E13B8E">
        <w:tc>
          <w:tcPr>
            <w:tcW w:w="9350" w:type="dxa"/>
            <w:gridSpan w:val="2"/>
          </w:tcPr>
          <w:p w14:paraId="6E2A275F" w14:textId="440FF17E" w:rsidR="00633870" w:rsidRPr="00633870" w:rsidRDefault="00633870" w:rsidP="00633870">
            <w:pPr>
              <w:jc w:val="center"/>
              <w:rPr>
                <w:rFonts w:ascii="inherit" w:hAnsi="inherit"/>
                <w:b/>
                <w:bCs/>
                <w:color w:val="333333"/>
                <w:sz w:val="32"/>
                <w:szCs w:val="40"/>
              </w:rPr>
            </w:pPr>
            <w:r w:rsidRPr="00633870">
              <w:rPr>
                <w:rFonts w:ascii="inherit" w:hAnsi="inherit"/>
                <w:b/>
                <w:bCs/>
                <w:color w:val="333333"/>
                <w:sz w:val="32"/>
                <w:szCs w:val="40"/>
              </w:rPr>
              <w:t>Statutory Authority – State of Emergency</w:t>
            </w:r>
          </w:p>
        </w:tc>
      </w:tr>
      <w:tr w:rsidR="00633870" w14:paraId="68FB7632" w14:textId="77777777" w:rsidTr="00633870">
        <w:tc>
          <w:tcPr>
            <w:tcW w:w="9350" w:type="dxa"/>
            <w:gridSpan w:val="2"/>
            <w:shd w:val="clear" w:color="auto" w:fill="002060"/>
          </w:tcPr>
          <w:p w14:paraId="1DAF4BCB" w14:textId="00D78262" w:rsidR="00633870" w:rsidRPr="003E5B40" w:rsidRDefault="00633870">
            <w:pPr>
              <w:rPr>
                <w:rFonts w:ascii="inherit" w:hAnsi="inherit"/>
                <w:color w:val="FFFFFF" w:themeColor="background1"/>
                <w:sz w:val="24"/>
                <w:szCs w:val="24"/>
              </w:rPr>
            </w:pPr>
            <w:r w:rsidRPr="003E5B40">
              <w:rPr>
                <w:b/>
                <w:bCs/>
                <w:color w:val="FFFFFF" w:themeColor="background1"/>
              </w:rPr>
              <w:t>HEALTH DEPARTMENT</w:t>
            </w:r>
          </w:p>
        </w:tc>
      </w:tr>
      <w:tr w:rsidR="00374EC7" w14:paraId="580298D1" w14:textId="77777777" w:rsidTr="00374EC7">
        <w:tc>
          <w:tcPr>
            <w:tcW w:w="2065" w:type="dxa"/>
          </w:tcPr>
          <w:p w14:paraId="4C314219" w14:textId="032AA107" w:rsidR="00374EC7" w:rsidRDefault="00374EC7">
            <w:r>
              <w:t>68-1-201 and -204</w:t>
            </w:r>
          </w:p>
        </w:tc>
        <w:tc>
          <w:tcPr>
            <w:tcW w:w="7285" w:type="dxa"/>
          </w:tcPr>
          <w:p w14:paraId="18C1A5CE" w14:textId="61FE3C61" w:rsidR="00374EC7" w:rsidRDefault="00374EC7">
            <w:r>
              <w:rPr>
                <w:rFonts w:ascii="inherit" w:hAnsi="inherit"/>
                <w:color w:val="333333"/>
                <w:sz w:val="24"/>
                <w:szCs w:val="24"/>
              </w:rPr>
              <w:t>The commissioner of health, appointed by the governor, has the power to declare quarantine whenever he or she determines the welfare of the public requires it. The commissioner has the authority to prescribe rules and regulations deemed proper for the prevention of epidemic diseases in the state. In the event of an emergency or disaster that involves the outbreaks of disease that present a danger of an epidemic, the commissioner shall make appropriate recommendations to the governor for actions under this title and title 58, chapter 2, to allocate all available heath care resources in the affected areas for immediate and long-term health care needs of the affected populations.</w:t>
            </w:r>
          </w:p>
        </w:tc>
      </w:tr>
      <w:tr w:rsidR="00374EC7" w14:paraId="324E365C" w14:textId="77777777" w:rsidTr="00374EC7">
        <w:tc>
          <w:tcPr>
            <w:tcW w:w="2065" w:type="dxa"/>
          </w:tcPr>
          <w:p w14:paraId="76AD609D" w14:textId="022B304F" w:rsidR="00374EC7" w:rsidRDefault="00374EC7">
            <w:r>
              <w:t>68-2-609</w:t>
            </w:r>
          </w:p>
        </w:tc>
        <w:tc>
          <w:tcPr>
            <w:tcW w:w="7285" w:type="dxa"/>
          </w:tcPr>
          <w:p w14:paraId="74606D4E" w14:textId="4929DD54" w:rsidR="00374EC7" w:rsidRDefault="00374EC7">
            <w:r>
              <w:rPr>
                <w:rFonts w:ascii="inherit" w:hAnsi="inherit"/>
                <w:color w:val="333333"/>
                <w:sz w:val="24"/>
                <w:szCs w:val="24"/>
              </w:rPr>
              <w:t>The county health officer is empowered to order the quarantine of any place or person if the county health officer finds that such control is necessary to protect the public health from an epidemic.</w:t>
            </w:r>
            <w:r w:rsidR="007A186B">
              <w:rPr>
                <w:rFonts w:ascii="inherit" w:hAnsi="inherit"/>
                <w:color w:val="333333"/>
                <w:sz w:val="24"/>
                <w:szCs w:val="24"/>
              </w:rPr>
              <w:t xml:space="preserve"> The county health officer is also empowered to close public buildings when necessary.</w:t>
            </w:r>
          </w:p>
        </w:tc>
      </w:tr>
      <w:tr w:rsidR="00F11017" w14:paraId="0E6C52CC" w14:textId="77777777" w:rsidTr="00374EC7">
        <w:tc>
          <w:tcPr>
            <w:tcW w:w="2065" w:type="dxa"/>
          </w:tcPr>
          <w:p w14:paraId="66C75C61" w14:textId="23BACE0A" w:rsidR="00F11017" w:rsidRDefault="00F11017">
            <w:r>
              <w:t>68-2-603(e)</w:t>
            </w:r>
          </w:p>
        </w:tc>
        <w:tc>
          <w:tcPr>
            <w:tcW w:w="7285" w:type="dxa"/>
          </w:tcPr>
          <w:p w14:paraId="092FEB8E" w14:textId="3542ACDB" w:rsidR="00F11017" w:rsidRDefault="00F11017" w:rsidP="00374EC7">
            <w:pPr>
              <w:pStyle w:val="NormalWeb"/>
              <w:spacing w:line="263" w:lineRule="atLeast"/>
              <w:textAlignment w:val="baseline"/>
              <w:rPr>
                <w:rFonts w:ascii="inherit" w:hAnsi="inherit"/>
                <w:color w:val="333333"/>
                <w:sz w:val="24"/>
                <w:szCs w:val="24"/>
              </w:rPr>
            </w:pPr>
            <w:r>
              <w:rPr>
                <w:rFonts w:ascii="inherit" w:hAnsi="inherit"/>
                <w:color w:val="333333"/>
                <w:sz w:val="24"/>
                <w:szCs w:val="24"/>
              </w:rPr>
              <w:t>If the county does not have a county health officer, the commissioner of health is required to appoint a physician to provide medical direction, including exercising the quarantine authority in TCA 68-2-609 (above).</w:t>
            </w:r>
          </w:p>
        </w:tc>
      </w:tr>
      <w:tr w:rsidR="00374EC7" w14:paraId="31DCB16E" w14:textId="77777777" w:rsidTr="00374EC7">
        <w:tc>
          <w:tcPr>
            <w:tcW w:w="2065" w:type="dxa"/>
          </w:tcPr>
          <w:p w14:paraId="7D8825FC" w14:textId="642DF6CE" w:rsidR="00374EC7" w:rsidRDefault="00374EC7">
            <w:r>
              <w:t>68-1-203</w:t>
            </w:r>
          </w:p>
        </w:tc>
        <w:tc>
          <w:tcPr>
            <w:tcW w:w="7285" w:type="dxa"/>
          </w:tcPr>
          <w:p w14:paraId="314CD3A4" w14:textId="796F8979" w:rsidR="00374EC7" w:rsidRPr="00374EC7" w:rsidRDefault="00374EC7" w:rsidP="00374EC7">
            <w:pPr>
              <w:pStyle w:val="NormalWeb"/>
              <w:spacing w:line="263" w:lineRule="atLeast"/>
              <w:textAlignment w:val="baseline"/>
              <w:rPr>
                <w:rStyle w:val="apple-converted-space"/>
                <w:rFonts w:asciiTheme="minorHAnsi" w:hAnsiTheme="minorHAnsi" w:cstheme="minorHAnsi"/>
                <w:color w:val="333333"/>
                <w:sz w:val="24"/>
                <w:szCs w:val="24"/>
              </w:rPr>
            </w:pPr>
            <w:r>
              <w:rPr>
                <w:rFonts w:ascii="inherit" w:hAnsi="inherit"/>
                <w:color w:val="333333"/>
                <w:sz w:val="24"/>
                <w:szCs w:val="24"/>
              </w:rPr>
              <w:t xml:space="preserve">Any person who willfully disregards or evades quarantine, or </w:t>
            </w:r>
            <w:r w:rsidRPr="00374EC7">
              <w:rPr>
                <w:rFonts w:asciiTheme="minorHAnsi" w:hAnsiTheme="minorHAnsi" w:cstheme="minorHAnsi"/>
                <w:color w:val="333333"/>
                <w:sz w:val="24"/>
                <w:szCs w:val="24"/>
              </w:rPr>
              <w:t>violates any rule or regulation made in attempting to prevent the spread of</w:t>
            </w:r>
            <w:r w:rsidRPr="00374EC7">
              <w:rPr>
                <w:rStyle w:val="apple-converted-space"/>
                <w:rFonts w:asciiTheme="minorHAnsi" w:hAnsiTheme="minorHAnsi" w:cstheme="minorHAnsi"/>
                <w:color w:val="333333"/>
                <w:sz w:val="24"/>
                <w:szCs w:val="24"/>
              </w:rPr>
              <w:t> a</w:t>
            </w:r>
            <w:r w:rsidRPr="00374EC7">
              <w:rPr>
                <w:rStyle w:val="apple-converted-space"/>
                <w:rFonts w:asciiTheme="minorHAnsi" w:hAnsiTheme="minorHAnsi" w:cstheme="minorHAnsi"/>
                <w:sz w:val="24"/>
                <w:szCs w:val="24"/>
              </w:rPr>
              <w:t>ny epidemic disease commits a Class B misdemeanor.</w:t>
            </w:r>
          </w:p>
          <w:p w14:paraId="6B262816" w14:textId="77777777" w:rsidR="00374EC7" w:rsidRDefault="00374EC7"/>
        </w:tc>
      </w:tr>
      <w:tr w:rsidR="00633870" w14:paraId="066F7C8A" w14:textId="77777777" w:rsidTr="00633870">
        <w:tc>
          <w:tcPr>
            <w:tcW w:w="9350" w:type="dxa"/>
            <w:gridSpan w:val="2"/>
            <w:shd w:val="clear" w:color="auto" w:fill="002060"/>
          </w:tcPr>
          <w:p w14:paraId="709104BB" w14:textId="43EB473F" w:rsidR="00633870" w:rsidRPr="003E5B40" w:rsidRDefault="00633870">
            <w:pPr>
              <w:rPr>
                <w:color w:val="FFFFFF" w:themeColor="background1"/>
              </w:rPr>
            </w:pPr>
            <w:r w:rsidRPr="003E5B40">
              <w:rPr>
                <w:b/>
                <w:bCs/>
                <w:color w:val="FFFFFF" w:themeColor="background1"/>
              </w:rPr>
              <w:t>COUNTY MAYOR</w:t>
            </w:r>
          </w:p>
        </w:tc>
      </w:tr>
      <w:tr w:rsidR="00374EC7" w14:paraId="2FCA2961" w14:textId="77777777" w:rsidTr="00374EC7">
        <w:tc>
          <w:tcPr>
            <w:tcW w:w="2065" w:type="dxa"/>
          </w:tcPr>
          <w:p w14:paraId="0F86C5E7" w14:textId="24C623AB" w:rsidR="00374EC7" w:rsidRDefault="00374EC7">
            <w:r>
              <w:t>58-8-104</w:t>
            </w:r>
          </w:p>
        </w:tc>
        <w:tc>
          <w:tcPr>
            <w:tcW w:w="7285" w:type="dxa"/>
          </w:tcPr>
          <w:p w14:paraId="4062F7D3" w14:textId="18FF6EA2" w:rsidR="00374EC7" w:rsidRDefault="00374EC7" w:rsidP="00952A7A">
            <w:pPr>
              <w:rPr>
                <w:rFonts w:eastAsia="Times New Roman" w:cstheme="minorHAnsi"/>
                <w:color w:val="000000"/>
                <w:sz w:val="24"/>
                <w:szCs w:val="24"/>
              </w:rPr>
            </w:pPr>
            <w:r w:rsidRPr="006323E5">
              <w:rPr>
                <w:rFonts w:eastAsia="Times New Roman" w:cstheme="minorHAnsi"/>
                <w:color w:val="000000"/>
                <w:sz w:val="24"/>
                <w:szCs w:val="24"/>
              </w:rPr>
              <w:t>The county mayor can declare a state of emergency</w:t>
            </w:r>
            <w:r w:rsidR="00952A7A">
              <w:rPr>
                <w:rFonts w:eastAsia="Times New Roman" w:cstheme="minorHAnsi"/>
                <w:color w:val="000000"/>
                <w:sz w:val="24"/>
                <w:szCs w:val="24"/>
              </w:rPr>
              <w:t xml:space="preserve"> and act under TCA 58-2-110 (below).  The county mayor may </w:t>
            </w:r>
            <w:r w:rsidR="00952A7A" w:rsidRPr="006323E5">
              <w:rPr>
                <w:rFonts w:cstheme="minorHAnsi"/>
                <w:sz w:val="24"/>
                <w:szCs w:val="24"/>
              </w:rPr>
              <w:t>evacuate all or any portion of the unincorporated areas of the county (also gives municipal mayors the same authority for incorporated areas).</w:t>
            </w:r>
          </w:p>
        </w:tc>
      </w:tr>
      <w:tr w:rsidR="00374EC7" w14:paraId="5B5BA657" w14:textId="77777777" w:rsidTr="00374EC7">
        <w:tc>
          <w:tcPr>
            <w:tcW w:w="2065" w:type="dxa"/>
          </w:tcPr>
          <w:p w14:paraId="3DDAD16E" w14:textId="456C55DD" w:rsidR="00374EC7" w:rsidRDefault="00374EC7">
            <w:r>
              <w:t>58-2-110</w:t>
            </w:r>
          </w:p>
        </w:tc>
        <w:tc>
          <w:tcPr>
            <w:tcW w:w="7285" w:type="dxa"/>
          </w:tcPr>
          <w:p w14:paraId="0EA14188" w14:textId="26522916" w:rsidR="00374EC7" w:rsidRDefault="00374EC7">
            <w:pPr>
              <w:rPr>
                <w:rFonts w:eastAsia="Times New Roman" w:cstheme="minorHAnsi"/>
                <w:color w:val="000000"/>
                <w:sz w:val="24"/>
                <w:szCs w:val="24"/>
              </w:rPr>
            </w:pPr>
            <w:r w:rsidRPr="006323E5">
              <w:rPr>
                <w:rFonts w:cstheme="minorHAnsi"/>
                <w:sz w:val="24"/>
                <w:szCs w:val="24"/>
              </w:rPr>
              <w:t xml:space="preserve">Once </w:t>
            </w:r>
            <w:r w:rsidR="00952A7A">
              <w:rPr>
                <w:rFonts w:cstheme="minorHAnsi"/>
                <w:sz w:val="24"/>
                <w:szCs w:val="24"/>
              </w:rPr>
              <w:t xml:space="preserve">a local </w:t>
            </w:r>
            <w:r w:rsidRPr="006323E5">
              <w:rPr>
                <w:rFonts w:cstheme="minorHAnsi"/>
                <w:sz w:val="24"/>
                <w:szCs w:val="24"/>
              </w:rPr>
              <w:t>state of emergency has been declared</w:t>
            </w:r>
            <w:r w:rsidR="00952A7A">
              <w:rPr>
                <w:rFonts w:cstheme="minorHAnsi"/>
                <w:sz w:val="24"/>
                <w:szCs w:val="24"/>
              </w:rPr>
              <w:t xml:space="preserve"> under TCA 58-8-104 (above)</w:t>
            </w:r>
            <w:r w:rsidRPr="006323E5">
              <w:rPr>
                <w:rFonts w:cstheme="minorHAnsi"/>
                <w:sz w:val="24"/>
                <w:szCs w:val="24"/>
              </w:rPr>
              <w:t xml:space="preserve">, the mayor is given the authority to </w:t>
            </w:r>
            <w:r w:rsidR="007A186B" w:rsidRPr="007A186B">
              <w:rPr>
                <w:rFonts w:cstheme="minorHAnsi"/>
                <w:sz w:val="24"/>
                <w:szCs w:val="24"/>
              </w:rPr>
              <w:t>suspend the performance of public work and take whatever prudent action is necessary</w:t>
            </w:r>
            <w:r w:rsidRPr="006323E5">
              <w:rPr>
                <w:rFonts w:cstheme="minorHAnsi"/>
                <w:sz w:val="24"/>
                <w:szCs w:val="24"/>
              </w:rPr>
              <w:t xml:space="preserve"> to ensure the health, safety, and welfare of the community.  The local state of emergency</w:t>
            </w:r>
            <w:r>
              <w:rPr>
                <w:rFonts w:cstheme="minorHAnsi"/>
                <w:sz w:val="24"/>
                <w:szCs w:val="24"/>
              </w:rPr>
              <w:t xml:space="preserve"> under this statute</w:t>
            </w:r>
            <w:r w:rsidRPr="006323E5">
              <w:rPr>
                <w:rFonts w:cstheme="minorHAnsi"/>
                <w:sz w:val="24"/>
                <w:szCs w:val="24"/>
              </w:rPr>
              <w:t xml:space="preserve"> is limited to </w:t>
            </w:r>
            <w:r w:rsidR="00952A7A">
              <w:rPr>
                <w:rFonts w:cstheme="minorHAnsi"/>
                <w:sz w:val="24"/>
                <w:szCs w:val="24"/>
              </w:rPr>
              <w:t>7</w:t>
            </w:r>
            <w:r w:rsidRPr="006323E5">
              <w:rPr>
                <w:rFonts w:cstheme="minorHAnsi"/>
                <w:sz w:val="24"/>
                <w:szCs w:val="24"/>
              </w:rPr>
              <w:t xml:space="preserve"> days, but </w:t>
            </w:r>
            <w:r w:rsidR="005D4B38">
              <w:rPr>
                <w:rFonts w:cstheme="minorHAnsi"/>
                <w:sz w:val="24"/>
                <w:szCs w:val="24"/>
              </w:rPr>
              <w:t xml:space="preserve">it </w:t>
            </w:r>
            <w:r w:rsidRPr="006323E5">
              <w:rPr>
                <w:rFonts w:cstheme="minorHAnsi"/>
                <w:sz w:val="24"/>
                <w:szCs w:val="24"/>
              </w:rPr>
              <w:t xml:space="preserve">may be extended in </w:t>
            </w:r>
            <w:r w:rsidR="00952A7A">
              <w:rPr>
                <w:rFonts w:cstheme="minorHAnsi"/>
                <w:sz w:val="24"/>
                <w:szCs w:val="24"/>
              </w:rPr>
              <w:t>7</w:t>
            </w:r>
            <w:r>
              <w:rPr>
                <w:rFonts w:cstheme="minorHAnsi"/>
                <w:sz w:val="24"/>
                <w:szCs w:val="24"/>
              </w:rPr>
              <w:t>-</w:t>
            </w:r>
            <w:r w:rsidRPr="006323E5">
              <w:rPr>
                <w:rFonts w:cstheme="minorHAnsi"/>
                <w:sz w:val="24"/>
                <w:szCs w:val="24"/>
              </w:rPr>
              <w:t>day increments.</w:t>
            </w:r>
          </w:p>
        </w:tc>
      </w:tr>
      <w:tr w:rsidR="00EF65B6" w14:paraId="635FA4E5" w14:textId="77777777" w:rsidTr="00374EC7">
        <w:tc>
          <w:tcPr>
            <w:tcW w:w="2065" w:type="dxa"/>
          </w:tcPr>
          <w:p w14:paraId="638F15E2" w14:textId="48B8FD35" w:rsidR="00EF65B6" w:rsidRDefault="00EF65B6">
            <w:r>
              <w:t>58-2-120</w:t>
            </w:r>
          </w:p>
        </w:tc>
        <w:tc>
          <w:tcPr>
            <w:tcW w:w="7285" w:type="dxa"/>
          </w:tcPr>
          <w:p w14:paraId="03475A4B" w14:textId="2A072334" w:rsidR="00EF65B6" w:rsidRPr="006323E5" w:rsidRDefault="00EF65B6">
            <w:pPr>
              <w:rPr>
                <w:rFonts w:cstheme="minorHAnsi"/>
                <w:sz w:val="24"/>
                <w:szCs w:val="24"/>
              </w:rPr>
            </w:pPr>
            <w:r w:rsidRPr="00EF65B6">
              <w:rPr>
                <w:rFonts w:cstheme="minorHAnsi"/>
                <w:sz w:val="24"/>
                <w:szCs w:val="24"/>
              </w:rPr>
              <w:t>Any person violating any order, rule or regulation promulgated pursuant to a declaration of a state of emergency commits a Class A misdemeanor.</w:t>
            </w:r>
          </w:p>
        </w:tc>
      </w:tr>
      <w:tr w:rsidR="00633870" w14:paraId="5D7C86F2" w14:textId="77777777" w:rsidTr="00633870">
        <w:tc>
          <w:tcPr>
            <w:tcW w:w="9350" w:type="dxa"/>
            <w:gridSpan w:val="2"/>
            <w:shd w:val="clear" w:color="auto" w:fill="002060"/>
          </w:tcPr>
          <w:p w14:paraId="0E869E88" w14:textId="0A53BC6B" w:rsidR="00633870" w:rsidRPr="003E5B40" w:rsidRDefault="00633870">
            <w:pPr>
              <w:rPr>
                <w:rFonts w:cstheme="minorHAnsi"/>
                <w:color w:val="FFFFFF" w:themeColor="background1"/>
                <w:sz w:val="24"/>
                <w:szCs w:val="24"/>
              </w:rPr>
            </w:pPr>
            <w:r w:rsidRPr="003E5B40">
              <w:rPr>
                <w:b/>
                <w:bCs/>
                <w:color w:val="FFFFFF" w:themeColor="background1"/>
              </w:rPr>
              <w:t>COUNTY COMMISSION</w:t>
            </w:r>
          </w:p>
        </w:tc>
      </w:tr>
      <w:tr w:rsidR="00374EC7" w14:paraId="43C3C42B" w14:textId="77777777" w:rsidTr="00374EC7">
        <w:tc>
          <w:tcPr>
            <w:tcW w:w="2065" w:type="dxa"/>
          </w:tcPr>
          <w:p w14:paraId="5CE0A2A8" w14:textId="31EB3324" w:rsidR="00374EC7" w:rsidRDefault="00374EC7">
            <w:r>
              <w:t>5-1-118</w:t>
            </w:r>
          </w:p>
        </w:tc>
        <w:tc>
          <w:tcPr>
            <w:tcW w:w="7285" w:type="dxa"/>
          </w:tcPr>
          <w:p w14:paraId="30CD019D" w14:textId="23B3995C" w:rsidR="00374EC7" w:rsidRDefault="00374EC7" w:rsidP="00374EC7">
            <w:pPr>
              <w:rPr>
                <w:rFonts w:cstheme="minorHAnsi"/>
                <w:sz w:val="24"/>
                <w:szCs w:val="24"/>
              </w:rPr>
            </w:pPr>
            <w:r>
              <w:rPr>
                <w:rFonts w:cstheme="minorHAnsi"/>
                <w:sz w:val="24"/>
                <w:szCs w:val="24"/>
              </w:rPr>
              <w:t xml:space="preserve">The County Powers Law allows counties to abate nuisances.  By </w:t>
            </w:r>
            <w:r w:rsidRPr="006323E5">
              <w:rPr>
                <w:rFonts w:cstheme="minorHAnsi"/>
                <w:sz w:val="24"/>
                <w:szCs w:val="24"/>
              </w:rPr>
              <w:t>referencing</w:t>
            </w:r>
            <w:r>
              <w:rPr>
                <w:rFonts w:cstheme="minorHAnsi"/>
                <w:sz w:val="24"/>
                <w:szCs w:val="24"/>
              </w:rPr>
              <w:t xml:space="preserve"> the powers enumerated in TCA</w:t>
            </w:r>
            <w:r w:rsidRPr="006323E5">
              <w:rPr>
                <w:rFonts w:cstheme="minorHAnsi"/>
                <w:sz w:val="24"/>
                <w:szCs w:val="24"/>
              </w:rPr>
              <w:t xml:space="preserve"> 6-2-201</w:t>
            </w:r>
            <w:r w:rsidRPr="006323E5">
              <w:rPr>
                <w:rFonts w:eastAsia="Times New Roman" w:cstheme="minorHAnsi"/>
                <w:sz w:val="24"/>
                <w:szCs w:val="24"/>
              </w:rPr>
              <w:t>(22)</w:t>
            </w:r>
            <w:r>
              <w:rPr>
                <w:rFonts w:eastAsia="Times New Roman" w:cstheme="minorHAnsi"/>
                <w:sz w:val="24"/>
                <w:szCs w:val="24"/>
              </w:rPr>
              <w:t xml:space="preserve"> and (23), the county can:</w:t>
            </w:r>
            <w:r w:rsidRPr="006323E5">
              <w:rPr>
                <w:rFonts w:eastAsia="Times New Roman" w:cstheme="minorHAnsi"/>
                <w:sz w:val="24"/>
                <w:szCs w:val="24"/>
              </w:rPr>
              <w:t xml:space="preserve"> </w:t>
            </w:r>
            <w:r>
              <w:rPr>
                <w:rFonts w:eastAsia="Times New Roman" w:cstheme="minorHAnsi"/>
                <w:sz w:val="24"/>
                <w:szCs w:val="24"/>
              </w:rPr>
              <w:t>“</w:t>
            </w:r>
            <w:r w:rsidRPr="006323E5">
              <w:rPr>
                <w:rFonts w:eastAsia="Times New Roman" w:cstheme="minorHAnsi"/>
                <w:sz w:val="24"/>
                <w:szCs w:val="24"/>
              </w:rPr>
              <w:t xml:space="preserve">Define, prohibit, abate, suppress, prevent and regulate all </w:t>
            </w:r>
            <w:r w:rsidRPr="006323E5">
              <w:rPr>
                <w:rFonts w:eastAsia="Times New Roman" w:cstheme="minorHAnsi"/>
                <w:sz w:val="24"/>
                <w:szCs w:val="24"/>
              </w:rPr>
              <w:lastRenderedPageBreak/>
              <w:t>acts, practices, conduct, businesses, occupations, callings, trades, uses of property and all other things whatsoever detrimental, or liable to be detrimental, to the health, morals, comfort, safety, convenience or welfare of the inhabitants of the municipality, and exercise general</w:t>
            </w:r>
            <w:r w:rsidR="003B6831">
              <w:rPr>
                <w:rFonts w:eastAsia="Times New Roman" w:cstheme="minorHAnsi"/>
                <w:sz w:val="24"/>
                <w:szCs w:val="24"/>
              </w:rPr>
              <w:t xml:space="preserve"> </w:t>
            </w:r>
            <w:r w:rsidRPr="006323E5">
              <w:rPr>
                <w:rFonts w:eastAsia="Times New Roman" w:cstheme="minorHAnsi"/>
                <w:sz w:val="24"/>
                <w:szCs w:val="24"/>
              </w:rPr>
              <w:t xml:space="preserve"> police powers</w:t>
            </w:r>
            <w:r>
              <w:rPr>
                <w:rFonts w:eastAsia="Times New Roman" w:cstheme="minorHAnsi"/>
                <w:sz w:val="24"/>
                <w:szCs w:val="24"/>
              </w:rPr>
              <w:t xml:space="preserve">; [and] </w:t>
            </w:r>
            <w:r w:rsidRPr="006323E5">
              <w:rPr>
                <w:rFonts w:eastAsia="Times New Roman" w:cstheme="minorHAnsi"/>
                <w:sz w:val="24"/>
                <w:szCs w:val="24"/>
              </w:rPr>
              <w:t>Prescribe limits within which business occupations and practices liable to be nuisances or detrimental to the health, morals, security or general welfare of the people may lawfully be established, conducted or maintained</w:t>
            </w:r>
            <w:r>
              <w:rPr>
                <w:rFonts w:eastAsia="Times New Roman" w:cstheme="minorHAnsi"/>
                <w:sz w:val="24"/>
                <w:szCs w:val="24"/>
              </w:rPr>
              <w:t>.”  The county would need to adopt the County Powers Law by 2/3 vote of the county commission in order to exercise these powers</w:t>
            </w:r>
            <w:r w:rsidR="00F91A2E">
              <w:rPr>
                <w:rFonts w:eastAsia="Times New Roman" w:cstheme="minorHAnsi"/>
                <w:sz w:val="24"/>
                <w:szCs w:val="24"/>
              </w:rPr>
              <w:t>, and any nuisance regulations adopted pursuant to this law also need to be passed by 2/3 vote.</w:t>
            </w:r>
          </w:p>
        </w:tc>
      </w:tr>
    </w:tbl>
    <w:p w14:paraId="75127728" w14:textId="459B41FE" w:rsidR="000E0F30" w:rsidRDefault="000E0F30" w:rsidP="00374EC7"/>
    <w:sectPr w:rsidR="000E0F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50E01" w14:textId="77777777" w:rsidR="002D1978" w:rsidRDefault="002D1978" w:rsidP="00633870">
      <w:pPr>
        <w:spacing w:after="0" w:line="240" w:lineRule="auto"/>
      </w:pPr>
      <w:r>
        <w:separator/>
      </w:r>
    </w:p>
  </w:endnote>
  <w:endnote w:type="continuationSeparator" w:id="0">
    <w:p w14:paraId="3CEEE829" w14:textId="77777777" w:rsidR="002D1978" w:rsidRDefault="002D1978" w:rsidP="0063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5323232"/>
      <w:docPartObj>
        <w:docPartGallery w:val="Page Numbers (Bottom of Page)"/>
        <w:docPartUnique/>
      </w:docPartObj>
    </w:sdtPr>
    <w:sdtEndPr>
      <w:rPr>
        <w:rStyle w:val="PageNumber"/>
      </w:rPr>
    </w:sdtEndPr>
    <w:sdtContent>
      <w:p w14:paraId="3E53D62C" w14:textId="544652A4" w:rsidR="00633870" w:rsidRDefault="00633870" w:rsidP="00807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DE073" w14:textId="77777777" w:rsidR="00633870" w:rsidRDefault="00633870" w:rsidP="00633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5441458"/>
      <w:docPartObj>
        <w:docPartGallery w:val="Page Numbers (Bottom of Page)"/>
        <w:docPartUnique/>
      </w:docPartObj>
    </w:sdtPr>
    <w:sdtEndPr>
      <w:rPr>
        <w:rStyle w:val="PageNumber"/>
      </w:rPr>
    </w:sdtEndPr>
    <w:sdtContent>
      <w:p w14:paraId="1BFF5BD9" w14:textId="3224933F" w:rsidR="00633870" w:rsidRDefault="00633870" w:rsidP="00807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8447A1" w14:textId="0833D578" w:rsidR="00633870" w:rsidRDefault="00633870" w:rsidP="00633870">
    <w:pPr>
      <w:pStyle w:val="Footer"/>
      <w:ind w:right="360"/>
    </w:pPr>
    <w:r>
      <w:t xml:space="preserve">County Technical Assistance Service </w:t>
    </w:r>
    <w:r>
      <w:br/>
    </w:r>
    <w:r w:rsidR="00EF65B6">
      <w:t xml:space="preserve">Revised </w:t>
    </w:r>
    <w:r>
      <w:t xml:space="preserve">March </w:t>
    </w:r>
    <w:r w:rsidR="00EF65B6">
      <w:t>25,</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DA3C" w14:textId="77777777" w:rsidR="00EF65B6" w:rsidRDefault="00EF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75831" w14:textId="77777777" w:rsidR="002D1978" w:rsidRDefault="002D1978" w:rsidP="00633870">
      <w:pPr>
        <w:spacing w:after="0" w:line="240" w:lineRule="auto"/>
      </w:pPr>
      <w:r>
        <w:separator/>
      </w:r>
    </w:p>
  </w:footnote>
  <w:footnote w:type="continuationSeparator" w:id="0">
    <w:p w14:paraId="791D1EBD" w14:textId="77777777" w:rsidR="002D1978" w:rsidRDefault="002D1978" w:rsidP="0063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FE21" w14:textId="77777777" w:rsidR="00EF65B6" w:rsidRDefault="00EF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1691" w14:textId="77777777" w:rsidR="00EF65B6" w:rsidRDefault="00EF6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8E23" w14:textId="77777777" w:rsidR="00EF65B6" w:rsidRDefault="00EF6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C7"/>
    <w:rsid w:val="000E0F30"/>
    <w:rsid w:val="001B7483"/>
    <w:rsid w:val="00284159"/>
    <w:rsid w:val="002D1978"/>
    <w:rsid w:val="00374EC7"/>
    <w:rsid w:val="003B6831"/>
    <w:rsid w:val="003E5B40"/>
    <w:rsid w:val="005D4B38"/>
    <w:rsid w:val="005F52DC"/>
    <w:rsid w:val="006165A8"/>
    <w:rsid w:val="00633870"/>
    <w:rsid w:val="0078315E"/>
    <w:rsid w:val="007A186B"/>
    <w:rsid w:val="007D5543"/>
    <w:rsid w:val="0085158B"/>
    <w:rsid w:val="00952A7A"/>
    <w:rsid w:val="009F7682"/>
    <w:rsid w:val="00EF65B6"/>
    <w:rsid w:val="00F11017"/>
    <w:rsid w:val="00F9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B91F"/>
  <w15:chartTrackingRefBased/>
  <w15:docId w15:val="{D3DEA717-29E9-4B03-8AC2-2950F1D2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4EC7"/>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374EC7"/>
  </w:style>
  <w:style w:type="paragraph" w:styleId="Header">
    <w:name w:val="header"/>
    <w:basedOn w:val="Normal"/>
    <w:link w:val="HeaderChar"/>
    <w:uiPriority w:val="99"/>
    <w:unhideWhenUsed/>
    <w:rsid w:val="0063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870"/>
  </w:style>
  <w:style w:type="paragraph" w:styleId="Footer">
    <w:name w:val="footer"/>
    <w:basedOn w:val="Normal"/>
    <w:link w:val="FooterChar"/>
    <w:uiPriority w:val="99"/>
    <w:unhideWhenUsed/>
    <w:rsid w:val="0063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870"/>
  </w:style>
  <w:style w:type="character" w:styleId="PageNumber">
    <w:name w:val="page number"/>
    <w:basedOn w:val="DefaultParagraphFont"/>
    <w:uiPriority w:val="99"/>
    <w:semiHidden/>
    <w:unhideWhenUsed/>
    <w:rsid w:val="0063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McCroskey, Libby</dc:creator>
  <cp:keywords/>
  <dc:description/>
  <cp:lastModifiedBy>Liz Gossett</cp:lastModifiedBy>
  <cp:revision>5</cp:revision>
  <dcterms:created xsi:type="dcterms:W3CDTF">2020-03-16T19:04:00Z</dcterms:created>
  <dcterms:modified xsi:type="dcterms:W3CDTF">2020-03-25T18:33:00Z</dcterms:modified>
</cp:coreProperties>
</file>