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1"/>
        </w:rPr>
      </w:pPr>
    </w:p>
    <w:p>
      <w:pPr>
        <w:spacing w:line="244" w:lineRule="auto" w:before="92"/>
        <w:ind w:left="1282" w:right="1258" w:firstLine="0"/>
        <w:jc w:val="center"/>
        <w:rPr>
          <w:b/>
          <w:sz w:val="24"/>
        </w:rPr>
      </w:pPr>
      <w:r>
        <w:rPr>
          <w:b/>
          <w:sz w:val="24"/>
        </w:rPr>
        <w:t>RESOLUTION TO CLOSE CERTAIN GOVERNMENTAL FUNDS IN COMPLIANCE WITH GASB STATEMENT 54</w:t>
      </w:r>
    </w:p>
    <w:p>
      <w:pPr>
        <w:pStyle w:val="BodyText"/>
        <w:rPr>
          <w:b/>
          <w:sz w:val="26"/>
        </w:rPr>
      </w:pPr>
    </w:p>
    <w:p>
      <w:pPr>
        <w:pStyle w:val="BodyText"/>
        <w:rPr>
          <w:b/>
          <w:sz w:val="23"/>
        </w:rPr>
      </w:pPr>
    </w:p>
    <w:p>
      <w:pPr>
        <w:pStyle w:val="BodyText"/>
        <w:ind w:left="119" w:right="223" w:firstLine="720"/>
      </w:pPr>
      <w:r>
        <w:rPr>
          <w:b/>
        </w:rPr>
        <w:t>WHEREAS, </w:t>
      </w:r>
      <w:r>
        <w:rPr/>
        <w:t>the Governmental Accounting Standards Board (GASB) has issued GASB Statement 54, and the State of Tennessee Comptroller’s Office has determined that this new accounting statement is considered Generally Accepted Accounting Principles (GAAP) applicable to county governments.</w:t>
      </w:r>
    </w:p>
    <w:p>
      <w:pPr>
        <w:pStyle w:val="BodyText"/>
        <w:spacing w:before="6"/>
      </w:pPr>
    </w:p>
    <w:p>
      <w:pPr>
        <w:pStyle w:val="BodyText"/>
        <w:tabs>
          <w:tab w:pos="2108" w:val="left" w:leader="none"/>
          <w:tab w:pos="3197" w:val="left" w:leader="none"/>
        </w:tabs>
        <w:spacing w:before="1"/>
        <w:ind w:left="119" w:right="408" w:firstLine="720"/>
      </w:pPr>
      <w:r>
        <w:rPr>
          <w:b/>
        </w:rPr>
        <w:t>WHEREAS</w:t>
      </w:r>
      <w:r>
        <w:rPr>
          <w:b/>
          <w:u w:val="single"/>
        </w:rPr>
        <w:tab/>
        <w:tab/>
      </w:r>
      <w:r>
        <w:rPr/>
        <w:t>County has analyzed the governmental</w:t>
      </w:r>
      <w:r>
        <w:rPr>
          <w:spacing w:val="-10"/>
        </w:rPr>
        <w:t> </w:t>
      </w:r>
      <w:r>
        <w:rPr/>
        <w:t>special</w:t>
      </w:r>
      <w:r>
        <w:rPr>
          <w:spacing w:val="-2"/>
        </w:rPr>
        <w:t> </w:t>
      </w:r>
      <w:r>
        <w:rPr/>
        <w:t>revenue</w:t>
      </w:r>
      <w:r>
        <w:rPr>
          <w:spacing w:val="-1"/>
          <w:w w:val="99"/>
        </w:rPr>
        <w:t> </w:t>
      </w:r>
      <w:r>
        <w:rPr/>
        <w:t>funds</w:t>
      </w:r>
      <w:r>
        <w:rPr>
          <w:spacing w:val="-2"/>
        </w:rPr>
        <w:t> </w:t>
      </w:r>
      <w:r>
        <w:rPr/>
        <w:t>of</w:t>
      </w:r>
      <w:r>
        <w:rPr>
          <w:u w:val="single"/>
        </w:rPr>
        <w:tab/>
      </w:r>
      <w:r>
        <w:rPr/>
        <w:t>County, and has determined that certain funds will no</w:t>
      </w:r>
      <w:r>
        <w:rPr>
          <w:spacing w:val="-16"/>
        </w:rPr>
        <w:t> </w:t>
      </w:r>
      <w:r>
        <w:rPr/>
        <w:t>longer</w:t>
      </w:r>
      <w:r>
        <w:rPr>
          <w:spacing w:val="-2"/>
        </w:rPr>
        <w:t> </w:t>
      </w:r>
      <w:r>
        <w:rPr/>
        <w:t>meet</w:t>
      </w:r>
      <w:r>
        <w:rPr>
          <w:spacing w:val="-1"/>
        </w:rPr>
        <w:t> </w:t>
      </w:r>
      <w:r>
        <w:rPr/>
        <w:t>the definition of a special revenue fund under GASB Statement 54 and need to be closed by the end of the current fiscal</w:t>
      </w:r>
      <w:r>
        <w:rPr>
          <w:spacing w:val="-30"/>
        </w:rPr>
        <w:t> </w:t>
      </w:r>
      <w:r>
        <w:rPr/>
        <w:t>year.</w:t>
      </w:r>
    </w:p>
    <w:p>
      <w:pPr>
        <w:pStyle w:val="BodyText"/>
        <w:spacing w:before="7"/>
      </w:pPr>
    </w:p>
    <w:p>
      <w:pPr>
        <w:spacing w:before="0"/>
        <w:ind w:left="840" w:right="0" w:firstLine="0"/>
        <w:jc w:val="left"/>
        <w:rPr>
          <w:sz w:val="24"/>
        </w:rPr>
      </w:pPr>
      <w:r>
        <w:rPr>
          <w:b/>
          <w:sz w:val="24"/>
        </w:rPr>
        <w:t>NOW, THEREFORE BE IT RESOLVED </w:t>
      </w:r>
      <w:r>
        <w:rPr>
          <w:sz w:val="24"/>
        </w:rPr>
        <w:t>by the county legislative body of</w:t>
      </w:r>
    </w:p>
    <w:p>
      <w:pPr>
        <w:pStyle w:val="BodyText"/>
        <w:tabs>
          <w:tab w:pos="1052" w:val="left" w:leader="none"/>
          <w:tab w:pos="3043" w:val="left" w:leader="none"/>
          <w:tab w:pos="3844" w:val="left" w:leader="none"/>
          <w:tab w:pos="4652" w:val="left" w:leader="none"/>
          <w:tab w:pos="7599" w:val="left" w:leader="none"/>
        </w:tabs>
        <w:ind w:left="120" w:right="325"/>
      </w:pPr>
      <w:r>
        <w:rPr>
          <w:w w:val="100"/>
          <w:u w:val="single"/>
        </w:rPr>
        <w:t> </w:t>
      </w:r>
      <w:r>
        <w:rPr>
          <w:u w:val="single"/>
        </w:rPr>
        <w:tab/>
      </w:r>
      <w:r>
        <w:rPr/>
        <w:t> County,</w:t>
      </w:r>
      <w:r>
        <w:rPr>
          <w:spacing w:val="-1"/>
        </w:rPr>
        <w:t> </w:t>
      </w:r>
      <w:r>
        <w:rPr/>
        <w:t>meeting</w:t>
      </w:r>
      <w:r>
        <w:rPr>
          <w:spacing w:val="-1"/>
        </w:rPr>
        <w:t> </w:t>
      </w:r>
      <w:r>
        <w:rPr/>
        <w:t>in</w:t>
      </w:r>
      <w:r>
        <w:rPr>
          <w:u w:val="single"/>
        </w:rPr>
        <w:tab/>
        <w:tab/>
      </w:r>
      <w:r>
        <w:rPr/>
        <w:t>session</w:t>
      </w:r>
      <w:r>
        <w:rPr>
          <w:spacing w:val="-1"/>
        </w:rPr>
        <w:t> </w:t>
      </w:r>
      <w:r>
        <w:rPr/>
        <w:t>at</w:t>
      </w:r>
      <w:r>
        <w:rPr>
          <w:u w:val="single"/>
        </w:rPr>
        <w:tab/>
      </w:r>
      <w:r>
        <w:rPr/>
        <w:t>Tennessee,</w:t>
      </w:r>
      <w:r>
        <w:rPr>
          <w:spacing w:val="-1"/>
        </w:rPr>
        <w:t> </w:t>
      </w:r>
      <w:r>
        <w:rPr/>
        <w:t>on</w:t>
      </w:r>
      <w:r>
        <w:rPr>
          <w:spacing w:val="-1"/>
          <w:w w:val="99"/>
        </w:rPr>
        <w:t> </w:t>
      </w:r>
      <w:r>
        <w:rPr/>
        <w:t>the</w:t>
      </w:r>
      <w:r>
        <w:rPr>
          <w:u w:val="single"/>
        </w:rPr>
        <w:tab/>
      </w:r>
      <w:r>
        <w:rPr/>
        <w:t>day</w:t>
      </w:r>
      <w:r>
        <w:rPr>
          <w:spacing w:val="-1"/>
        </w:rPr>
        <w:t> </w:t>
      </w:r>
      <w:r>
        <w:rPr/>
        <w:t>of</w:t>
      </w:r>
      <w:r>
        <w:rPr>
          <w:u w:val="single"/>
        </w:rPr>
        <w:t> </w:t>
        <w:tab/>
      </w:r>
      <w:r>
        <w:rPr/>
        <w:t>,</w:t>
      </w:r>
      <w:r>
        <w:rPr>
          <w:spacing w:val="-1"/>
        </w:rPr>
        <w:t> </w:t>
      </w:r>
      <w:r>
        <w:rPr/>
        <w:t>20</w:t>
      </w:r>
      <w:r>
        <w:rPr>
          <w:u w:val="single"/>
        </w:rPr>
        <w:t> </w:t>
        <w:tab/>
      </w:r>
      <w:r>
        <w:rPr/>
        <w:t>,</w:t>
      </w:r>
      <w:r>
        <w:rPr>
          <w:spacing w:val="-5"/>
        </w:rPr>
        <w:t> </w:t>
      </w:r>
      <w:r>
        <w:rPr/>
        <w:t>that:</w:t>
      </w:r>
    </w:p>
    <w:p>
      <w:pPr>
        <w:pStyle w:val="BodyText"/>
        <w:rPr>
          <w:sz w:val="26"/>
        </w:rPr>
      </w:pPr>
    </w:p>
    <w:p>
      <w:pPr>
        <w:pStyle w:val="BodyText"/>
        <w:spacing w:before="7"/>
        <w:rPr>
          <w:sz w:val="22"/>
        </w:rPr>
      </w:pPr>
    </w:p>
    <w:p>
      <w:pPr>
        <w:pStyle w:val="BodyText"/>
        <w:tabs>
          <w:tab w:pos="2175" w:val="left" w:leader="none"/>
        </w:tabs>
        <w:ind w:left="119" w:right="220" w:firstLine="720"/>
      </w:pPr>
      <w:r>
        <w:rPr>
          <w:b/>
        </w:rPr>
        <w:t>Section</w:t>
      </w:r>
      <w:r>
        <w:rPr>
          <w:b/>
          <w:spacing w:val="-3"/>
        </w:rPr>
        <w:t> </w:t>
      </w:r>
      <w:r>
        <w:rPr>
          <w:b/>
        </w:rPr>
        <w:t>1.</w:t>
        <w:tab/>
      </w:r>
      <w:r>
        <w:rPr/>
        <w:t>At the end of the current fiscal year, the County Mayor</w:t>
      </w:r>
      <w:r>
        <w:rPr>
          <w:spacing w:val="-2"/>
        </w:rPr>
        <w:t> </w:t>
      </w:r>
      <w:r>
        <w:rPr/>
        <w:t>is</w:t>
      </w:r>
      <w:r>
        <w:rPr>
          <w:spacing w:val="-1"/>
        </w:rPr>
        <w:t> </w:t>
      </w:r>
      <w:r>
        <w:rPr/>
        <w:t>authorized</w:t>
      </w:r>
      <w:r>
        <w:rPr>
          <w:w w:val="99"/>
        </w:rPr>
        <w:t> </w:t>
      </w:r>
      <w:r>
        <w:rPr/>
        <w:t>to transfer the remaining fund balances of the following funds to the county general fund:</w:t>
      </w:r>
    </w:p>
    <w:p>
      <w:pPr>
        <w:pStyle w:val="BodyText"/>
        <w:rPr>
          <w:sz w:val="26"/>
        </w:rPr>
      </w:pPr>
    </w:p>
    <w:p>
      <w:pPr>
        <w:pStyle w:val="BodyText"/>
        <w:spacing w:before="10"/>
        <w:rPr>
          <w:sz w:val="21"/>
        </w:rPr>
      </w:pPr>
    </w:p>
    <w:p>
      <w:pPr>
        <w:pStyle w:val="BodyText"/>
        <w:spacing w:before="1"/>
        <w:ind w:left="119" w:right="48"/>
      </w:pPr>
      <w:r>
        <w:rPr/>
        <w:t>These fund balances shall be budgeted and designated by the county legislative body in the general fund as deemed appropriate by the county legislative body and in accordance with applicable law.</w:t>
      </w:r>
    </w:p>
    <w:p>
      <w:pPr>
        <w:pStyle w:val="BodyText"/>
        <w:spacing w:before="7"/>
      </w:pPr>
    </w:p>
    <w:p>
      <w:pPr>
        <w:pStyle w:val="BodyText"/>
        <w:ind w:left="119" w:right="223" w:firstLine="720"/>
      </w:pPr>
      <w:r>
        <w:rPr>
          <w:b/>
        </w:rPr>
        <w:t>Section 2. </w:t>
      </w:r>
      <w:r>
        <w:rPr/>
        <w:t>This resolution shall be effective upon its passage and approval, the public welfare requiring it.</w:t>
      </w:r>
    </w:p>
    <w:p>
      <w:pPr>
        <w:pStyle w:val="BodyText"/>
        <w:spacing w:before="11"/>
        <w:rPr>
          <w:sz w:val="23"/>
        </w:rPr>
      </w:pPr>
    </w:p>
    <w:p>
      <w:pPr>
        <w:pStyle w:val="BodyText"/>
        <w:tabs>
          <w:tab w:pos="2640" w:val="left" w:leader="none"/>
          <w:tab w:pos="4762" w:val="left" w:leader="none"/>
        </w:tabs>
        <w:ind w:left="839"/>
      </w:pPr>
      <w:r>
        <w:rPr/>
        <w:t>Adopted</w:t>
      </w:r>
      <w:r>
        <w:rPr>
          <w:spacing w:val="-1"/>
        </w:rPr>
        <w:t> </w:t>
      </w:r>
      <w:r>
        <w:rPr/>
        <w:t>this</w:t>
      </w:r>
      <w:r>
        <w:rPr>
          <w:u w:val="single"/>
        </w:rPr>
        <w:tab/>
      </w:r>
      <w:r>
        <w:rPr/>
        <w:t>day</w:t>
      </w:r>
      <w:r>
        <w:rPr>
          <w:spacing w:val="-1"/>
        </w:rPr>
        <w:t> </w:t>
      </w:r>
      <w:r>
        <w:rPr/>
        <w:t>of</w:t>
      </w:r>
      <w:r>
        <w:rPr>
          <w:u w:val="single"/>
        </w:rPr>
        <w:t> </w:t>
        <w:tab/>
      </w:r>
      <w:r>
        <w:rPr/>
        <w:t>, 20  </w:t>
      </w:r>
      <w:r>
        <w:rPr>
          <w:spacing w:val="62"/>
        </w:rPr>
        <w:t> </w:t>
      </w:r>
      <w:r>
        <w:rPr/>
        <w:t>.</w:t>
      </w:r>
    </w:p>
    <w:p>
      <w:pPr>
        <w:pStyle w:val="BodyText"/>
        <w:rPr>
          <w:sz w:val="26"/>
        </w:rPr>
      </w:pPr>
    </w:p>
    <w:p>
      <w:pPr>
        <w:pStyle w:val="BodyText"/>
        <w:spacing w:before="11"/>
        <w:rPr>
          <w:sz w:val="21"/>
        </w:rPr>
      </w:pPr>
    </w:p>
    <w:p>
      <w:pPr>
        <w:pStyle w:val="BodyText"/>
        <w:tabs>
          <w:tab w:pos="5161" w:val="left" w:leader="none"/>
        </w:tabs>
        <w:ind w:left="119"/>
      </w:pPr>
      <w:r>
        <w:rPr/>
        <w:t>APPROVED:</w:t>
        <w:tab/>
        <w:t>ATTEST:</w:t>
      </w:r>
    </w:p>
    <w:p>
      <w:pPr>
        <w:pStyle w:val="BodyText"/>
        <w:rPr>
          <w:sz w:val="20"/>
        </w:rPr>
      </w:pPr>
    </w:p>
    <w:p>
      <w:pPr>
        <w:pStyle w:val="BodyText"/>
        <w:rPr>
          <w:sz w:val="20"/>
        </w:rPr>
      </w:pPr>
    </w:p>
    <w:p>
      <w:pPr>
        <w:pStyle w:val="BodyText"/>
        <w:spacing w:before="11"/>
        <w:rPr>
          <w:sz w:val="26"/>
        </w:rPr>
      </w:pPr>
      <w:r>
        <w:rPr/>
        <w:pict>
          <v:line style="position:absolute;mso-position-horizontal-relative:page;mso-position-vertical-relative:paragraph;z-index:0;mso-wrap-distance-left:0;mso-wrap-distance-right:0" from="72pt,17.850840pt" to="271.764pt,17.850840pt" stroked="true" strokeweight=".756pt" strokecolor="#000000">
            <v:stroke dashstyle="solid"/>
            <w10:wrap type="topAndBottom"/>
          </v:line>
        </w:pict>
      </w:r>
      <w:r>
        <w:rPr/>
        <w:pict>
          <v:line style="position:absolute;mso-position-horizontal-relative:page;mso-position-vertical-relative:paragraph;z-index:1048;mso-wrap-distance-left:0;mso-wrap-distance-right:0" from="327.335999pt,17.850840pt" to="533.758799pt,17.850840pt" stroked="true" strokeweight=".756pt" strokecolor="#000000">
            <v:stroke dashstyle="solid"/>
            <w10:wrap type="topAndBottom"/>
          </v:line>
        </w:pict>
      </w:r>
    </w:p>
    <w:p>
      <w:pPr>
        <w:pStyle w:val="BodyText"/>
        <w:tabs>
          <w:tab w:pos="5159" w:val="left" w:leader="none"/>
        </w:tabs>
        <w:spacing w:line="250" w:lineRule="exact"/>
        <w:ind w:left="119"/>
      </w:pPr>
      <w:r>
        <w:rPr/>
        <w:t>County</w:t>
      </w:r>
      <w:r>
        <w:rPr>
          <w:spacing w:val="-3"/>
        </w:rPr>
        <w:t> </w:t>
      </w:r>
      <w:r>
        <w:rPr/>
        <w:t>Mayor</w:t>
        <w:tab/>
        <w:t>County</w:t>
      </w:r>
      <w:r>
        <w:rPr>
          <w:spacing w:val="-11"/>
        </w:rPr>
        <w:t> </w:t>
      </w:r>
      <w:r>
        <w:rPr/>
        <w:t>Clerk</w:t>
      </w:r>
    </w:p>
    <w:sectPr>
      <w:type w:val="continuous"/>
      <w:pgSz w:w="12240" w:h="15840"/>
      <w:pgMar w:top="15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jmwalden</dc:creator>
  <dc:title>Microsoft Word - GASB 54 budget amendment</dc:title>
  <dcterms:created xsi:type="dcterms:W3CDTF">2017-03-29T10:23:57Z</dcterms:created>
  <dcterms:modified xsi:type="dcterms:W3CDTF">2017-03-29T10:23:57Z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2010-04-01T00:00:00Z</vt:filetime>
  </property>
  <property fmtid="{D5CDD505-2E9C-101B-9397-08002B2CF9AE}" pid="3" name="Creator">
    <vt:lpwstr>PScript5.dll Version 5.2.2</vt:lpwstr>
  </property>
  <property fmtid="{D5CDD505-2E9C-101B-9397-08002B2CF9AE}" pid="4" name="LastSaved">
    <vt:filetime>2017-03-29T00:00:00Z</vt:filetime>
  </property>
</Properties>
</file>